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593" w:rsidRDefault="00656593">
      <w:pPr>
        <w:pStyle w:val="ConsPlusNormal"/>
        <w:jc w:val="right"/>
        <w:outlineLvl w:val="0"/>
      </w:pPr>
      <w:r>
        <w:t>Приложение N 12</w:t>
      </w:r>
    </w:p>
    <w:p w:rsidR="00656593" w:rsidRDefault="00656593">
      <w:pPr>
        <w:pStyle w:val="ConsPlusNormal"/>
        <w:jc w:val="right"/>
      </w:pPr>
      <w:r>
        <w:t>к Программе</w:t>
      </w:r>
    </w:p>
    <w:p w:rsidR="00656593" w:rsidRDefault="00656593">
      <w:pPr>
        <w:pStyle w:val="ConsPlusNormal"/>
        <w:jc w:val="both"/>
      </w:pPr>
    </w:p>
    <w:p w:rsidR="00656593" w:rsidRDefault="00656593">
      <w:pPr>
        <w:pStyle w:val="ConsPlusTitle"/>
        <w:jc w:val="center"/>
      </w:pPr>
      <w:r>
        <w:t>ПРАВИЛА</w:t>
      </w:r>
    </w:p>
    <w:p w:rsidR="00656593" w:rsidRDefault="00656593">
      <w:pPr>
        <w:pStyle w:val="ConsPlusTitle"/>
        <w:jc w:val="center"/>
      </w:pPr>
      <w:r>
        <w:t>ПРЕДОСТАВЛЕНИЯ И РАСПРЕДЕЛЕНИЯ ИНЫХ МЕЖБЮДЖЕТНЫХ ТРАНСФЕРТОВ</w:t>
      </w:r>
    </w:p>
    <w:p w:rsidR="00656593" w:rsidRDefault="00656593">
      <w:pPr>
        <w:pStyle w:val="ConsPlusTitle"/>
        <w:jc w:val="center"/>
      </w:pPr>
      <w:r>
        <w:t xml:space="preserve">ИЗ ОБЛАСТНОГО БЮДЖЕТА МЕСТНЫМ БЮДЖЕТАМ НА </w:t>
      </w:r>
      <w:proofErr w:type="gramStart"/>
      <w:r>
        <w:t>ФИНАНСОВОЕ</w:t>
      </w:r>
      <w:proofErr w:type="gramEnd"/>
    </w:p>
    <w:p w:rsidR="00656593" w:rsidRDefault="00656593">
      <w:pPr>
        <w:pStyle w:val="ConsPlusTitle"/>
        <w:jc w:val="center"/>
      </w:pPr>
      <w:r>
        <w:t>ОБЕСПЕЧЕНИЕ МЕРОПРИЯТИЙ ПО ОБЕСПЕЧЕНИЮ ДЕЯТЕЛЬНОСТИ</w:t>
      </w:r>
    </w:p>
    <w:p w:rsidR="00656593" w:rsidRDefault="00656593">
      <w:pPr>
        <w:pStyle w:val="ConsPlusTitle"/>
        <w:jc w:val="center"/>
      </w:pPr>
      <w:r>
        <w:t>СОВЕТНИКОВ ДИРЕКТОРА ПО ВОСПИТАНИЮ И ВЗАИМОДЕЙСТВИЮ</w:t>
      </w:r>
    </w:p>
    <w:p w:rsidR="00656593" w:rsidRDefault="00656593">
      <w:pPr>
        <w:pStyle w:val="ConsPlusTitle"/>
        <w:jc w:val="center"/>
      </w:pPr>
      <w:r>
        <w:t xml:space="preserve">С ДЕТСКИМИ ОБЩЕСТВЕННЫМИ ОБЪЕДИНЕНИЯМИ В </w:t>
      </w:r>
      <w:proofErr w:type="gramStart"/>
      <w:r>
        <w:t>ОБЩЕОБРАЗОВАТЕЛЬНЫХ</w:t>
      </w:r>
      <w:proofErr w:type="gramEnd"/>
    </w:p>
    <w:p w:rsidR="00656593" w:rsidRDefault="00656593">
      <w:pPr>
        <w:pStyle w:val="ConsPlusTitle"/>
        <w:jc w:val="center"/>
      </w:pPr>
      <w:proofErr w:type="gramStart"/>
      <w:r>
        <w:t>ОРГАНИЗАЦИЯХ</w:t>
      </w:r>
      <w:proofErr w:type="gramEnd"/>
    </w:p>
    <w:p w:rsidR="00656593" w:rsidRDefault="00656593">
      <w:pPr>
        <w:pStyle w:val="ConsPlusNormal"/>
        <w:jc w:val="both"/>
      </w:pPr>
    </w:p>
    <w:p w:rsidR="00656593" w:rsidRDefault="00656593">
      <w:pPr>
        <w:pStyle w:val="ConsPlusNormal"/>
        <w:ind w:firstLine="540"/>
        <w:jc w:val="both"/>
      </w:pPr>
      <w:r>
        <w:t xml:space="preserve">1. </w:t>
      </w:r>
      <w:proofErr w:type="gramStart"/>
      <w:r>
        <w:t>Настоящие Правила устанавливают цели, условия и порядок предоставления иных межбюджетных трансфертов из областного бюджета местным бюджетам, на финансовое обеспечение расходных обязательств муниципальных образований, возникающих при реализации региональных проектов, обеспечивающих достижение целей, показателей и результатов федерального проекта "Педагоги и наставники", входящего в состав национального проекта "Молодежь и дети", предусматривающих мероприятия по обеспечению деятельности советников директора по воспитанию и взаимодействию с детскими</w:t>
      </w:r>
      <w:proofErr w:type="gramEnd"/>
      <w:r>
        <w:t xml:space="preserve"> общественными объединениями в муниципальных общеобразовательных организациях (далее - советники по воспитанию).</w:t>
      </w:r>
    </w:p>
    <w:p w:rsidR="00656593" w:rsidRDefault="00656593">
      <w:pPr>
        <w:pStyle w:val="ConsPlusNormal"/>
        <w:spacing w:before="220"/>
        <w:ind w:firstLine="540"/>
        <w:jc w:val="both"/>
      </w:pPr>
      <w:r>
        <w:t>2. Результатом предоставления иного межбюджетного трансферта является количество муниципальных общеобразовательных организаций, реализующих мероприятия по обеспечению деятельности советников по воспитанию в соответствии со значением результата, определенным паспортом федерального проекта "Педагоги и наставники", входящего в состав национального проекта "Молодежь и дети".</w:t>
      </w:r>
    </w:p>
    <w:p w:rsidR="00656593" w:rsidRDefault="00656593">
      <w:pPr>
        <w:pStyle w:val="ConsPlusNormal"/>
        <w:spacing w:before="220"/>
        <w:ind w:firstLine="540"/>
        <w:jc w:val="both"/>
      </w:pPr>
      <w:bookmarkStart w:id="0" w:name="P13"/>
      <w:bookmarkEnd w:id="0"/>
      <w:r>
        <w:t>3. Условиями предоставления иного межбюджетного трансферта являются:</w:t>
      </w:r>
    </w:p>
    <w:p w:rsidR="00656593" w:rsidRDefault="00656593">
      <w:pPr>
        <w:pStyle w:val="ConsPlusNormal"/>
        <w:spacing w:before="220"/>
        <w:ind w:firstLine="540"/>
        <w:jc w:val="both"/>
      </w:pPr>
      <w:r>
        <w:t>а) наличие муниципальных программ, определяющих перечень мероприятий (результатов), при реализации которых возникает расходное обязательство муниципального образования Мурманской области, в целях софинансирования которого предоставляется иной межбюджетный трансферт;</w:t>
      </w:r>
    </w:p>
    <w:p w:rsidR="00656593" w:rsidRDefault="00656593">
      <w:pPr>
        <w:pStyle w:val="ConsPlusNormal"/>
        <w:spacing w:before="220"/>
        <w:ind w:firstLine="540"/>
        <w:jc w:val="both"/>
      </w:pPr>
      <w:r>
        <w:t>б) заключение между Министерством образования и науки Мурманской области (далее - Министерство образования) и муниципальным образованием соглашения о предоставлении иного межбюджетного трансферта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
    <w:p w:rsidR="00656593" w:rsidRDefault="00656593">
      <w:pPr>
        <w:pStyle w:val="ConsPlusNormal"/>
        <w:spacing w:before="220"/>
        <w:ind w:firstLine="540"/>
        <w:jc w:val="both"/>
      </w:pPr>
      <w:r>
        <w:t>в) наличие в муниципальном образовании муниципальных общеобразовательных организаций, в которых введены ставки советника по воспитанию;</w:t>
      </w:r>
    </w:p>
    <w:p w:rsidR="00656593" w:rsidRDefault="00656593">
      <w:pPr>
        <w:pStyle w:val="ConsPlusNormal"/>
        <w:spacing w:before="220"/>
        <w:ind w:firstLine="540"/>
        <w:jc w:val="both"/>
      </w:pPr>
      <w:r>
        <w:t>г) наличие в штатном расписании муниципальных общеобразовательных организаций должности советника по воспитанию;</w:t>
      </w:r>
    </w:p>
    <w:p w:rsidR="00656593" w:rsidRDefault="00656593">
      <w:pPr>
        <w:pStyle w:val="ConsPlusNormal"/>
        <w:spacing w:before="220"/>
        <w:ind w:firstLine="540"/>
        <w:jc w:val="both"/>
      </w:pPr>
      <w:r>
        <w:t>д) наличие в муниципальных общеобразовательных организациях помещений для организации деятельности ученического самоуправления, оснащенных в соответствии с методическими рекомендациями Министерства просвещения Российской Федерации, размещаемыми на официальном сайте указанного Министерства в информационно-телекоммуникационной сети Интернет.</w:t>
      </w:r>
    </w:p>
    <w:p w:rsidR="00656593" w:rsidRDefault="00656593">
      <w:pPr>
        <w:pStyle w:val="ConsPlusNormal"/>
        <w:spacing w:before="220"/>
        <w:ind w:firstLine="540"/>
        <w:jc w:val="both"/>
      </w:pPr>
      <w:r>
        <w:t xml:space="preserve">4. Муниципальные образования Мурманской области, заключая соглашение с Министерством образования, принимают на себя ответственность по соблюдению условий, </w:t>
      </w:r>
      <w:r>
        <w:lastRenderedPageBreak/>
        <w:t xml:space="preserve">указанных в </w:t>
      </w:r>
      <w:hyperlink w:anchor="P13">
        <w:r>
          <w:rPr>
            <w:color w:val="0000FF"/>
          </w:rPr>
          <w:t>пункте 3</w:t>
        </w:r>
      </w:hyperlink>
      <w:r>
        <w:t xml:space="preserve"> настоящих Правил.</w:t>
      </w:r>
    </w:p>
    <w:p w:rsidR="00656593" w:rsidRDefault="00656593">
      <w:pPr>
        <w:pStyle w:val="ConsPlusNormal"/>
        <w:spacing w:before="220"/>
        <w:ind w:firstLine="540"/>
        <w:jc w:val="both"/>
      </w:pPr>
      <w:r>
        <w:t>5. Перечисление иного межбюджетного трансферта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656593" w:rsidRDefault="00656593">
      <w:pPr>
        <w:pStyle w:val="ConsPlusNormal"/>
        <w:spacing w:before="220"/>
        <w:ind w:firstLine="540"/>
        <w:jc w:val="both"/>
      </w:pPr>
      <w:r>
        <w:t>6. Размер иного межбюджетного трансферта (Sir), предоставляемого i-му муниципальному образованию Мурманской области, определяется по формуле:</w:t>
      </w:r>
    </w:p>
    <w:p w:rsidR="00656593" w:rsidRDefault="00656593">
      <w:pPr>
        <w:pStyle w:val="ConsPlusNormal"/>
        <w:jc w:val="both"/>
      </w:pPr>
    </w:p>
    <w:p w:rsidR="00656593" w:rsidRDefault="00656593">
      <w:pPr>
        <w:pStyle w:val="ConsPlusNormal"/>
        <w:jc w:val="center"/>
      </w:pPr>
      <w:r>
        <w:t>Sir = Wi x 0,5 x R x 1,302 x 12, где:</w:t>
      </w:r>
    </w:p>
    <w:p w:rsidR="00656593" w:rsidRDefault="00656593">
      <w:pPr>
        <w:pStyle w:val="ConsPlusNormal"/>
        <w:jc w:val="both"/>
      </w:pPr>
    </w:p>
    <w:p w:rsidR="00656593" w:rsidRDefault="00656593">
      <w:pPr>
        <w:pStyle w:val="ConsPlusNormal"/>
        <w:ind w:firstLine="540"/>
        <w:jc w:val="both"/>
      </w:pPr>
      <w:r>
        <w:t>Wi - количество муниципальных общеобразовательных организаций в i-м муниципальном образовании Мурманской области, в которых советники по воспитанию приступят к работе с 1 января соответствующего финансового года;</w:t>
      </w:r>
    </w:p>
    <w:p w:rsidR="00656593" w:rsidRDefault="00656593">
      <w:pPr>
        <w:pStyle w:val="ConsPlusNormal"/>
        <w:spacing w:before="220"/>
        <w:ind w:firstLine="540"/>
        <w:jc w:val="both"/>
      </w:pPr>
      <w:r>
        <w:t>0,5 - размер ставки штатной единицы, применяемый для расчета заработной платы ставки советника по воспитанию;</w:t>
      </w:r>
    </w:p>
    <w:p w:rsidR="00656593" w:rsidRDefault="00656593">
      <w:pPr>
        <w:pStyle w:val="ConsPlusNormal"/>
        <w:spacing w:before="220"/>
        <w:ind w:firstLine="540"/>
        <w:jc w:val="both"/>
      </w:pPr>
      <w:r>
        <w:t>R - показатель среднемесячной начисленной заработной платы наемных работников в организациях, у индивидуальных предпринимателей и физических лиц в целом по Мурманской области, по данным федерального статистического наблюдения за 2021 год, скорректированный на прогнозный уровень инфляции в прогнозируемом периоде;</w:t>
      </w:r>
    </w:p>
    <w:p w:rsidR="00656593" w:rsidRDefault="00656593">
      <w:pPr>
        <w:pStyle w:val="ConsPlusNormal"/>
        <w:spacing w:before="220"/>
        <w:ind w:firstLine="540"/>
        <w:jc w:val="both"/>
      </w:pPr>
      <w:r>
        <w:t>1,302 - коэффициент, учитывающий выплату страховых взносов в государственные внебюджетные фонды.</w:t>
      </w:r>
    </w:p>
    <w:p w:rsidR="00656593" w:rsidRDefault="00656593">
      <w:pPr>
        <w:pStyle w:val="ConsPlusNormal"/>
        <w:spacing w:before="220"/>
        <w:ind w:firstLine="540"/>
        <w:jc w:val="both"/>
      </w:pPr>
      <w:r>
        <w:t>Объем межбюджетного трансферта, предоставляемого i-му муниципальному образованию Мурманской области, округляется до целых сотен рублей.</w:t>
      </w:r>
    </w:p>
    <w:p w:rsidR="00656593" w:rsidRDefault="00656593">
      <w:pPr>
        <w:pStyle w:val="ConsPlusNormal"/>
        <w:spacing w:before="220"/>
        <w:ind w:firstLine="540"/>
        <w:jc w:val="both"/>
      </w:pPr>
      <w:r>
        <w:t>7. Уполномоченные органы местного самоуправления размещают в государственной интегрированной информационной системе управления общественными финансами "Электронный бюджет" в сроки, установленные соглашением:</w:t>
      </w:r>
    </w:p>
    <w:p w:rsidR="00656593" w:rsidRDefault="00656593">
      <w:pPr>
        <w:pStyle w:val="ConsPlusNormal"/>
        <w:spacing w:before="220"/>
        <w:ind w:firstLine="540"/>
        <w:jc w:val="both"/>
      </w:pPr>
      <w:r>
        <w:t xml:space="preserve">- отчет о расходах муниципального образования в </w:t>
      </w:r>
      <w:proofErr w:type="gramStart"/>
      <w:r>
        <w:t>целях</w:t>
      </w:r>
      <w:proofErr w:type="gramEnd"/>
      <w:r>
        <w:t xml:space="preserve"> софинансирования </w:t>
      </w:r>
      <w:proofErr w:type="gramStart"/>
      <w:r>
        <w:t>которых</w:t>
      </w:r>
      <w:proofErr w:type="gramEnd"/>
      <w:r>
        <w:t xml:space="preserve"> предоставляется иной межбюджетный трансферт;</w:t>
      </w:r>
    </w:p>
    <w:p w:rsidR="00656593" w:rsidRDefault="00656593">
      <w:pPr>
        <w:pStyle w:val="ConsPlusNormal"/>
        <w:spacing w:before="220"/>
        <w:ind w:firstLine="540"/>
        <w:jc w:val="both"/>
      </w:pPr>
      <w:r>
        <w:t>- отчет о достижении значения результата использования иного межбюджетного трансферта.</w:t>
      </w:r>
    </w:p>
    <w:p w:rsidR="00656593" w:rsidRDefault="00656593">
      <w:pPr>
        <w:pStyle w:val="ConsPlusNormal"/>
        <w:spacing w:before="220"/>
        <w:ind w:firstLine="540"/>
        <w:jc w:val="both"/>
      </w:pPr>
      <w:r>
        <w:t>8. Оценка эффективности предоставления иного межбюджетного трансферта осуществляется Министерством образования путем сравнения плановых и фактических значений результата предоставления иного межбюджетного трансферта.</w:t>
      </w:r>
    </w:p>
    <w:p w:rsidR="00656593" w:rsidRDefault="00656593">
      <w:pPr>
        <w:pStyle w:val="ConsPlusNormal"/>
        <w:spacing w:before="220"/>
        <w:ind w:firstLine="540"/>
        <w:jc w:val="both"/>
      </w:pPr>
      <w:r>
        <w:t xml:space="preserve">9. </w:t>
      </w:r>
      <w:proofErr w:type="gramStart"/>
      <w:r>
        <w:t>В случае если муниципальным образованием по состоянию на 31 декабря текущего финансового года не достигнуто значение результата предоставления иного межбюджетного трансферта, заявленного муниципальным образованием, размер средств, подлежащих возврату из местного бюджета в областной бюджет до 1 апреля года, следующего за годом предоставления иного межбюджетного трансферта (V</w:t>
      </w:r>
      <w:r>
        <w:rPr>
          <w:vertAlign w:val="subscript"/>
        </w:rPr>
        <w:t>возврата</w:t>
      </w:r>
      <w:r>
        <w:t>), определяется по формуле:</w:t>
      </w:r>
      <w:proofErr w:type="gramEnd"/>
    </w:p>
    <w:p w:rsidR="00656593" w:rsidRDefault="00656593">
      <w:pPr>
        <w:pStyle w:val="ConsPlusNormal"/>
        <w:jc w:val="both"/>
      </w:pPr>
    </w:p>
    <w:p w:rsidR="00656593" w:rsidRDefault="00656593">
      <w:pPr>
        <w:pStyle w:val="ConsPlusNormal"/>
        <w:jc w:val="center"/>
      </w:pPr>
      <w:proofErr w:type="gramStart"/>
      <w:r>
        <w:t>V</w:t>
      </w:r>
      <w:proofErr w:type="gramEnd"/>
      <w:r>
        <w:rPr>
          <w:vertAlign w:val="subscript"/>
        </w:rPr>
        <w:t>возврата</w:t>
      </w:r>
      <w:r>
        <w:t xml:space="preserve"> = V</w:t>
      </w:r>
      <w:r>
        <w:rPr>
          <w:vertAlign w:val="subscript"/>
        </w:rPr>
        <w:t>трансферта</w:t>
      </w:r>
      <w:r>
        <w:t xml:space="preserve"> x (1 - N</w:t>
      </w:r>
      <w:r>
        <w:rPr>
          <w:vertAlign w:val="subscript"/>
        </w:rPr>
        <w:t>факт</w:t>
      </w:r>
      <w:r>
        <w:t xml:space="preserve"> / N</w:t>
      </w:r>
      <w:r>
        <w:rPr>
          <w:vertAlign w:val="subscript"/>
        </w:rPr>
        <w:t>план</w:t>
      </w:r>
      <w:r>
        <w:t>), где:</w:t>
      </w:r>
    </w:p>
    <w:p w:rsidR="00656593" w:rsidRDefault="00656593">
      <w:pPr>
        <w:pStyle w:val="ConsPlusNormal"/>
        <w:jc w:val="both"/>
      </w:pPr>
    </w:p>
    <w:p w:rsidR="00656593" w:rsidRDefault="00656593">
      <w:pPr>
        <w:pStyle w:val="ConsPlusNormal"/>
        <w:ind w:firstLine="540"/>
        <w:jc w:val="both"/>
      </w:pPr>
      <w:proofErr w:type="gramStart"/>
      <w:r>
        <w:t>N</w:t>
      </w:r>
      <w:proofErr w:type="gramEnd"/>
      <w:r>
        <w:rPr>
          <w:vertAlign w:val="subscript"/>
        </w:rPr>
        <w:t>факт</w:t>
      </w:r>
      <w:r>
        <w:t xml:space="preserve"> - фактический показатель;</w:t>
      </w:r>
    </w:p>
    <w:p w:rsidR="00656593" w:rsidRDefault="00656593">
      <w:pPr>
        <w:pStyle w:val="ConsPlusNormal"/>
        <w:spacing w:before="220"/>
        <w:ind w:firstLine="540"/>
        <w:jc w:val="both"/>
      </w:pPr>
      <w:proofErr w:type="gramStart"/>
      <w:r>
        <w:t>N</w:t>
      </w:r>
      <w:proofErr w:type="gramEnd"/>
      <w:r>
        <w:rPr>
          <w:vertAlign w:val="subscript"/>
        </w:rPr>
        <w:t>план</w:t>
      </w:r>
      <w:r>
        <w:t xml:space="preserve"> - плановый показатель.</w:t>
      </w:r>
    </w:p>
    <w:p w:rsidR="00656593" w:rsidRDefault="00656593">
      <w:pPr>
        <w:pStyle w:val="ConsPlusNormal"/>
        <w:spacing w:before="220"/>
        <w:ind w:firstLine="540"/>
        <w:jc w:val="both"/>
      </w:pPr>
      <w:r>
        <w:t>10. Органы местного самоуправления муниципальных образований несут ответственность за целевое использование иного межбюджетного трансферта и за достоверность предоставляемых в Министерство образования сведений и отчетов.</w:t>
      </w:r>
    </w:p>
    <w:p w:rsidR="00656593" w:rsidRDefault="00656593">
      <w:pPr>
        <w:pStyle w:val="ConsPlusNormal"/>
        <w:spacing w:before="220"/>
        <w:ind w:firstLine="540"/>
        <w:jc w:val="both"/>
      </w:pPr>
      <w:r>
        <w:t xml:space="preserve">11. В </w:t>
      </w:r>
      <w:proofErr w:type="gramStart"/>
      <w:r>
        <w:t>случае</w:t>
      </w:r>
      <w:proofErr w:type="gramEnd"/>
      <w:r>
        <w:t xml:space="preserve"> возникновения остатка иного межбюджетного трансферта органы местного самоуправления осуществляют его возврат в областной бюджет.</w:t>
      </w:r>
    </w:p>
    <w:p w:rsidR="00656593" w:rsidRDefault="00656593">
      <w:pPr>
        <w:pStyle w:val="ConsPlusNormal"/>
        <w:spacing w:before="220"/>
        <w:ind w:firstLine="540"/>
        <w:jc w:val="both"/>
      </w:pPr>
      <w:proofErr w:type="gramStart"/>
      <w:r>
        <w:t>В случае если неиспользованный остаток иного межбюджетного трансферта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roofErr w:type="gramEnd"/>
    </w:p>
    <w:p w:rsidR="00656593" w:rsidRDefault="00656593">
      <w:pPr>
        <w:pStyle w:val="ConsPlusNormal"/>
        <w:spacing w:before="220"/>
        <w:ind w:firstLine="540"/>
        <w:jc w:val="both"/>
      </w:pPr>
      <w:r>
        <w:t>Принятие Министерством образования решения о наличии (отсутствии) потребности в межбюджетных трансфертах, полученных из областного бюджета в форме иных межбюджетных трансфертов, имеющих целевое назначение, не использованных в отчетном финансовом году, осуществляется в порядке, установленном Правительством Мурманской области.</w:t>
      </w:r>
    </w:p>
    <w:p w:rsidR="00656593" w:rsidRDefault="00656593">
      <w:pPr>
        <w:pStyle w:val="ConsPlusNormal"/>
        <w:spacing w:before="220"/>
        <w:ind w:firstLine="540"/>
        <w:jc w:val="both"/>
      </w:pPr>
      <w:r>
        <w:t>Потребность в неиспользованных остатках иных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иные межбюджетные трансферты из областного бюджета, определяется в текущем финансовом году в соответствии с решением Министерства образования.</w:t>
      </w:r>
    </w:p>
    <w:p w:rsidR="00656593" w:rsidRDefault="00656593">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иных межбюджетных трансфертов,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w:t>
      </w:r>
      <w:proofErr w:type="gramEnd"/>
      <w:r>
        <w:t xml:space="preserve"> области на основании обращения, представленного Министерством.</w:t>
      </w:r>
    </w:p>
    <w:p w:rsidR="00656593" w:rsidRDefault="00656593">
      <w:pPr>
        <w:pStyle w:val="ConsPlusNormal"/>
        <w:spacing w:before="220"/>
        <w:ind w:firstLine="540"/>
        <w:jc w:val="both"/>
      </w:pPr>
      <w:r>
        <w:t>12. Иные межбюджетные трансферты носят целевой характер и не могут быть использованы на другие цели.</w:t>
      </w:r>
    </w:p>
    <w:p w:rsidR="00656593" w:rsidRDefault="00656593">
      <w:pPr>
        <w:pStyle w:val="ConsPlusNormal"/>
        <w:spacing w:before="220"/>
        <w:ind w:firstLine="540"/>
        <w:jc w:val="both"/>
      </w:pPr>
      <w:r>
        <w:t xml:space="preserve">13. В </w:t>
      </w:r>
      <w:proofErr w:type="gramStart"/>
      <w:r>
        <w:t>случае</w:t>
      </w:r>
      <w:proofErr w:type="gramEnd"/>
      <w:r>
        <w:t xml:space="preserve"> использования иного межбюджетного трансферта не по целевому назначению осуществляется взыскание указанных средств в порядке, установленном законодательством Российской Федерации и законодательством Мурманской области.</w:t>
      </w:r>
    </w:p>
    <w:p w:rsidR="00656593" w:rsidRDefault="00656593">
      <w:pPr>
        <w:pStyle w:val="ConsPlusNormal"/>
        <w:spacing w:before="220"/>
        <w:ind w:firstLine="540"/>
        <w:jc w:val="both"/>
      </w:pPr>
      <w:r>
        <w:t xml:space="preserve">14. </w:t>
      </w:r>
      <w:proofErr w:type="gramStart"/>
      <w:r>
        <w:t>Контроль за</w:t>
      </w:r>
      <w:proofErr w:type="gramEnd"/>
      <w:r>
        <w:t xml:space="preserve"> соблюдением органами местного самоуправления условий, цели и порядка предоставления иных межбюджетных трансфертов осуществляют Министерство образования и органы государственного финансового контроля.</w:t>
      </w:r>
    </w:p>
    <w:p w:rsidR="00656593" w:rsidRDefault="00656593">
      <w:pPr>
        <w:pStyle w:val="ConsPlusNormal"/>
      </w:pPr>
      <w:hyperlink r:id="rId5">
        <w:r>
          <w:rPr>
            <w:i/>
            <w:color w:val="0000FF"/>
          </w:rPr>
          <w:br/>
          <w:t>Постановление Правительства Мурманской области от 11.11.2020 N 791-ПП (ред. от 20.10.2025) "Об утверждении государственной программы Мурманской области "Образование и наука" {КонсультантПлюс}</w:t>
        </w:r>
      </w:hyperlink>
      <w:r>
        <w:br/>
      </w:r>
    </w:p>
    <w:p w:rsidR="001A243B" w:rsidRDefault="001A243B">
      <w:bookmarkStart w:id="1" w:name="_GoBack"/>
      <w:bookmarkEnd w:id="1"/>
    </w:p>
    <w:sectPr w:rsidR="001A243B" w:rsidSect="007715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593"/>
    <w:rsid w:val="001A243B"/>
    <w:rsid w:val="00656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6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6593"/>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6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6593"/>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RLAW087&amp;n=141729&amp;dst=14816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1257</Words>
  <Characters>7166</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12</vt:lpstr>
    </vt:vector>
  </TitlesOfParts>
  <Company>Министерство финансов МО</Company>
  <LinksUpToDate>false</LinksUpToDate>
  <CharactersWithSpaces>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2025-10-28T10:53:00Z</dcterms:created>
  <dcterms:modified xsi:type="dcterms:W3CDTF">2025-10-28T10:53:00Z</dcterms:modified>
</cp:coreProperties>
</file>